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ПОЛИТИКА ОБРАБОТКИ ПЕРСОНАЛЬНЫХ ДАННЫХ</w:t>
      </w:r>
    </w:p>
    <w:p>
      <w:pPr>
        <w:jc w:val="center"/>
      </w:pPr>
      <w:r>
        <w:rPr>
          <w:b/>
        </w:rPr>
        <w:t>для сайта и форм проекта NP_Lab</w:t>
      </w:r>
    </w:p>
    <w:p>
      <w:pPr>
        <w:jc w:val="center"/>
      </w:pPr>
      <w:r>
        <w:t>Редакция от 30 сентября 2026 года.</w:t>
      </w:r>
    </w:p>
    <w:p>
      <w:pPr>
        <w:pStyle w:val="Heading1"/>
        <w:keepNext/>
        <w:spacing w:before="100" w:after="50"/>
      </w:pPr>
      <w:r>
        <w:rPr>
          <w:b w:val="0"/>
        </w:rPr>
        <w:t>1. Оператор и область действия</w:t>
      </w:r>
    </w:p>
    <w:p>
      <w:pPr>
        <w:spacing w:after="64"/>
      </w:pPr>
      <w:r>
        <w:rPr>
          <w:b w:val="0"/>
        </w:rPr>
        <w:t>Оператор персональных данных: Паркалаб Николай Николаевич, ИНН 231400652600, автор и создатель проекта NP_Lab. Официальный сайт: https://nplabart.com/. Рабочий e-mail: contact@nplabart.com. Сведения об Операторе включены в реестр операторов персональных данных Роскомнадзора, регистрационный номер 23-26-187283. Настоящая Политика применяется к сайту NP_Lab, его техническим поддоменам, формам и связанным операциям, в рамках которых Оператор получает персональные данные.</w:t>
      </w:r>
    </w:p>
    <w:p>
      <w:pPr>
        <w:pStyle w:val="Heading1"/>
        <w:keepNext/>
        <w:spacing w:before="100" w:after="50"/>
      </w:pPr>
      <w:r>
        <w:rPr>
          <w:b w:val="0"/>
        </w:rPr>
        <w:t>2. Какие данные могут обрабатываться</w:t>
      </w:r>
    </w:p>
    <w:p>
      <w:pPr>
        <w:spacing w:after="64"/>
      </w:pPr>
      <w:r>
        <w:rPr>
          <w:b w:val="0"/>
        </w:rPr>
        <w:t>При оформлении цифрового издания: e-mail, выбранный цифровой товар, выбранная цена, идентификатор заказа, статус оплаты и доставки, а также минимально необходимые технические сведения для защиты заказа и работы сервиса.</w:t>
      </w:r>
    </w:p>
    <w:p>
      <w:pPr>
        <w:spacing w:after="64"/>
      </w:pPr>
      <w:r>
        <w:rPr>
          <w:b w:val="0"/>
        </w:rPr>
        <w:t>При деловом или пресс-обращении: имя или наименование организации, рабочий e-mail, ссылка на сайт/страницу, тип и текст обращения, языковой/источниковый контекст, сведения о версии отдельного согласия и минимально необходимые технические сведения для защиты формы от злоупотреблений.</w:t>
      </w:r>
    </w:p>
    <w:p>
      <w:pPr>
        <w:spacing w:after="64"/>
      </w:pPr>
      <w:r>
        <w:t>При добровольной безвозмездной поддержке: для перевода физического лица Оператор может получать от банка или платёжного сервиса доступные получателю сведения о переводе, в том числе имя плательщика, если оно сообщается сервисом, сумму, дату, назначение и идентификатор перевода. При оформлении поддержки организацией или ИП могут обрабатываться ФИО, e-mail, номер телефона, ИНН, сведения о переводе, реквизиты договора, сведения о полномочиях представителя и иные сведения, предоставленные субъектом персональных данных для заключения и исполнения соответствующего договора.</w:t>
      </w:r>
    </w:p>
    <w:p>
      <w:pPr>
        <w:spacing w:after="64"/>
      </w:pPr>
      <w:r>
        <w:rPr>
          <w:b/>
        </w:rPr>
        <w:t>При обычном просмотре:</w:t>
      </w:r>
      <w:r>
        <w:rPr>
          <w:b w:val="0"/>
        </w:rPr>
        <w:t xml:space="preserve"> сам сайт не использует рекламную аналитику и не формирует пользовательские профили. Для работы интерфейса могут использоваться sessionStorage/localStorage и кэш браузера. Временное сохранение e-mail формы заказа в sessionStorage происходит только на устройстве пользователя для восстановления формы после просмотра юридических страниц.</w:t>
      </w:r>
    </w:p>
    <w:p>
      <w:pPr>
        <w:spacing w:after="64"/>
      </w:pPr>
      <w:r>
        <w:rPr>
          <w:b w:val="0"/>
        </w:rPr>
        <w:t>Банковские реквизиты карты, CVC/CVV, пароль от банка и иные платёжные секреты сайт NP_Lab не запрашивает и не хранит.</w:t>
      </w:r>
    </w:p>
    <w:p>
      <w:pPr>
        <w:spacing w:after="64"/>
      </w:pPr>
      <w:r>
        <w:t>Категории субъектов персональных данных: покупатели цифровых изданий; посетители сайта, направляющие обращения; контрагенты и представители контрагентов, участвующие в оформлении добровольной безвозмездной поддержки.</w:t>
      </w:r>
    </w:p>
    <w:p>
      <w:pPr>
        <w:pStyle w:val="Heading1"/>
        <w:keepNext/>
        <w:spacing w:before="100" w:after="50"/>
      </w:pPr>
      <w:r>
        <w:rPr>
          <w:b w:val="0"/>
        </w:rPr>
        <w:t>3. Цели обработки</w:t>
      </w:r>
    </w:p>
    <w:p>
      <w:pPr>
        <w:spacing w:after="64"/>
      </w:pPr>
      <w:r>
        <w:rPr>
          <w:b w:val="0"/>
        </w:rPr>
        <w:t>Персональные данные обрабатываются для: оформления и исполнения заказа; подтверждения оплаты; формирования и передачи чека; предоставления и восстановления доступа к цифровому изданию; получения, рассмотрения и ответа на деловые и редакционные обращения; оформления и исполнения добровольной безвозмездной поддержки и связанных с ней договоров; подтверждения и учёта соответствующих переводов; технической поддержки; предотвращения злоупотреблений; исполнения обязанностей, установленных законодательством Российской Федерации; защиты прав Оператора и пользователей.</w:t>
      </w:r>
    </w:p>
    <w:p>
      <w:pPr>
        <w:spacing w:after="64"/>
      </w:pPr>
      <w:r>
        <w:rPr>
          <w:b w:val="0"/>
        </w:rPr>
        <w:t>Данные, полученные для заказа или делового обращения, не используются для рекламной рассылки без отдельного законного основания.</w:t>
      </w:r>
    </w:p>
    <w:p>
      <w:pPr>
        <w:pStyle w:val="Heading1"/>
        <w:keepNext/>
        <w:spacing w:before="100" w:after="50"/>
      </w:pPr>
      <w:r>
        <w:rPr>
          <w:b w:val="0"/>
        </w:rPr>
        <w:t>4. Правовые основания</w:t>
      </w:r>
    </w:p>
    <w:p>
      <w:pPr>
        <w:spacing w:after="64"/>
      </w:pPr>
      <w:r>
        <w:rPr>
          <w:b w:val="0"/>
        </w:rPr>
        <w:t>Обработка осуществляется на основаниях, предусмотренных законодательством Российской Федерации, включая действия по инициативе пользователя для заключения и исполнения договора, исполнение обязанностей Оператора и отдельное согласие субъекта персональных данных в тех случаях, когда Оператор опирается на согласие. Согласие на обработку персональных данных оформляется отдельно от оферты, политики и иных подтверждаемых документов.</w:t>
      </w:r>
    </w:p>
    <w:p>
      <w:pPr>
        <w:pStyle w:val="Heading1"/>
        <w:keepNext/>
        <w:spacing w:before="100" w:after="50"/>
      </w:pPr>
      <w:r>
        <w:rPr>
          <w:b w:val="0"/>
        </w:rPr>
        <w:t>5. Локализация данных граждан Российской Федерации</w:t>
      </w:r>
    </w:p>
    <w:p>
      <w:pPr>
        <w:spacing w:after="64"/>
      </w:pPr>
      <w:r>
        <w:rPr>
          <w:b w:val="0"/>
        </w:rPr>
        <w:t>Форма заказа и действующая деловая форма направляют переданные пользователем данные через api.nplabart.com в российский серверный контур. Для персональных данных граждан Российской Федерации первичная запись, систематизация, накопление, хранение, уточнение и извлечение при интернет-сборе организованы с использованием баз данных на территории Российской Федерации. Публичная статическая часть сайта не используется как первичная база данных для содержимого этих форм.</w:t>
      </w:r>
    </w:p>
    <w:p>
      <w:pPr>
        <w:spacing w:after="64"/>
      </w:pPr>
      <w:r>
        <w:rPr>
          <w:b w:val="0"/>
        </w:rPr>
        <w:t>Публичная статическая часть сайта размещается в российском контуре Timeweb Cloud. Если российский маршрут первичного сбора недоступен, обработка заказа или делового обращения не должна считаться успешно начатой.</w:t>
      </w:r>
    </w:p>
    <w:p>
      <w:pPr>
        <w:pStyle w:val="Heading1"/>
        <w:keepNext/>
        <w:spacing w:before="100" w:after="50"/>
      </w:pPr>
      <w:r>
        <w:rPr>
          <w:b w:val="0"/>
        </w:rPr>
        <w:t>6. Платёжные, почтовые и инфраструктурные сервисы</w:t>
      </w:r>
    </w:p>
    <w:p>
      <w:pPr>
        <w:spacing w:after="64"/>
      </w:pPr>
      <w:r>
        <w:rPr>
          <w:b w:val="0"/>
        </w:rPr>
        <w:t>Для приёма оплаты используется Robokassa и связанные с расчётом сервисы. Пользователь вводит платёжные данные на стороне платёжного сервиса, а NP_Lab получает только сведения, необходимые для подтверждения заказа.</w:t>
      </w:r>
    </w:p>
    <w:p>
      <w:pPr>
        <w:spacing w:after="64"/>
      </w:pPr>
      <w:r>
        <w:rPr>
          <w:b w:val="0"/>
        </w:rPr>
        <w:t>Российский серверный контур использует сервисы Yandex Cloud для первичного хранения, шифрования и служебной доставки писем по заказам. Публичная статическая часть сайта размещается в Timeweb Cloud.</w:t>
      </w:r>
    </w:p>
    <w:p>
      <w:pPr>
        <w:spacing w:after="64"/>
      </w:pPr>
      <w:r>
        <w:rPr>
          <w:b w:val="0"/>
        </w:rPr>
        <w:t>Рабочий адрес contact@nplabart.com указан как публичный контактный канал. Деловая веб-форма действует: после отдельного согласия пользователя её содержимое передаётся через api.nplabart.com в российский серверный контур и далее используется Оператором для рассмотрения обращения и ответа.</w:t>
      </w:r>
    </w:p>
    <w:p>
      <w:pPr>
        <w:spacing w:after="64"/>
      </w:pPr>
      <w:r>
        <w:rPr>
          <w:b w:val="0"/>
        </w:rPr>
        <w:t>При переходе по ссылке добровольной поддержки в Т-Банк либо по внешней ссылке на почтовый, музыкальный, социальный или иной сторонний сервис пользователь покидает сайт NP_Lab и взаимодействует с соответствующим сервисом напрямую. При совершении поддержки банк или платёжный сервис может предоставить Получателю предусмотренные его интерфейсом сведения о переводе; такие сведения Оператор обрабатывает только для целей оформления, подтверждения и учёта безвозмездной поддержки и исполнения требований закона.</w:t>
      </w:r>
    </w:p>
    <w:p>
      <w:pPr>
        <w:pStyle w:val="Heading1"/>
        <w:keepNext/>
        <w:spacing w:before="100" w:after="50"/>
      </w:pPr>
      <w:r>
        <w:rPr>
          <w:b w:val="0"/>
        </w:rPr>
        <w:t>7. Трансграничная передача</w:t>
      </w:r>
    </w:p>
    <w:p>
      <w:pPr>
        <w:spacing w:after="64"/>
      </w:pPr>
      <w:r>
        <w:t>Трансграничная передача персональных данных Оператором не осуществляется.</w:t>
      </w:r>
    </w:p>
    <w:p>
      <w:pPr>
        <w:pStyle w:val="Heading1"/>
        <w:keepNext/>
        <w:spacing w:before="100" w:after="50"/>
      </w:pPr>
      <w:r>
        <w:rPr>
          <w:b w:val="0"/>
        </w:rPr>
        <w:t>8. Сроки хранения и уничтожение</w:t>
      </w:r>
    </w:p>
    <w:p>
      <w:pPr>
        <w:spacing w:after="64"/>
      </w:pPr>
      <w:r>
        <w:t>Данные хранятся не дольше, чем это необходимо для заявленной цели, исполнения договора, подтверждения расчётов, рассмотрения претензий и выполнения обязательных требований законодательства. При достижении цели обработки персональные данные уничтожаются в срок, не превышающий 30 дней, если их дальнейшая обработка не требуется по договору или иному законному основанию. При отзыве согласия применяются те же правила, если отсутствует другое законное основание для продолжения обработки.</w:t>
      </w:r>
    </w:p>
    <w:p>
      <w:pPr>
        <w:pStyle w:val="Heading1"/>
        <w:keepNext/>
        <w:spacing w:before="100" w:after="50"/>
      </w:pPr>
      <w:r>
        <w:rPr>
          <w:b w:val="0"/>
        </w:rPr>
        <w:t>9. Меры защиты</w:t>
      </w:r>
    </w:p>
    <w:p>
      <w:pPr>
        <w:spacing w:after="64"/>
      </w:pPr>
      <w:r>
        <w:rPr>
          <w:b w:val="0"/>
        </w:rPr>
        <w:t>Оператор применяет минимизацию данных, разграничение доступа, HTTPS, хранение секретов вне публичного сайта, аудит технических событий и другие разумные организационные и технические меры. Секретные ключи Robokassa, банковские пароли, storage-ключи, почтовые секреты и полные персональные download-token не размещаются в публичном коде сайта.</w:t>
      </w:r>
    </w:p>
    <w:p>
      <w:pPr>
        <w:pStyle w:val="Heading1"/>
        <w:keepNext/>
        <w:spacing w:before="100" w:after="50"/>
      </w:pPr>
      <w:r>
        <w:rPr>
          <w:b w:val="0"/>
        </w:rPr>
        <w:t>10. Инциденты</w:t>
      </w:r>
    </w:p>
    <w:p>
      <w:pPr>
        <w:spacing w:after="64"/>
      </w:pPr>
      <w:r>
        <w:rPr>
          <w:b w:val="0"/>
        </w:rPr>
        <w:t>При выявлении неправомерной или случайной передачи персональных данных Оператор принимает меры по прекращению нарушения, расследованию причин и выполняет обязательные уведомления уполномоченного органа в установленные законом сроки.</w:t>
      </w:r>
    </w:p>
    <w:p>
      <w:pPr>
        <w:pStyle w:val="Heading1"/>
        <w:keepNext/>
        <w:spacing w:before="100" w:after="50"/>
      </w:pPr>
      <w:r>
        <w:rPr>
          <w:b w:val="0"/>
        </w:rPr>
        <w:t>11. Права пользователя</w:t>
      </w:r>
    </w:p>
    <w:p>
      <w:pPr>
        <w:spacing w:after="64"/>
      </w:pPr>
      <w:r>
        <w:t>Пользователь вправе запросить сведения об обработке своих персональных данных, их уточнение, прекращение обработки или уничтожение в предусмотренных законом случаях, а также отозвать согласие, если обработка основана на согласии. Обращение направляется на contact@nplabart.com и должно содержать сведения, позволяющие идентифицировать соответствующий заказ или обращение без передачи лишних данных. Ответ на запрос о наличии и обработке персональных данных предоставляется в срок, установленный законом, — не более 10 рабочих дней, с возможностью продления не более чем на 5 рабочих дней при направлении мотивированного уведомления.</w:t>
      </w:r>
    </w:p>
    <w:p>
      <w:pPr>
        <w:pStyle w:val="Heading1"/>
        <w:keepNext/>
        <w:spacing w:before="100" w:after="50"/>
      </w:pPr>
      <w:r>
        <w:rPr>
          <w:b w:val="0"/>
        </w:rPr>
        <w:t>12. Cookies и локальное хранилище</w:t>
      </w:r>
    </w:p>
    <w:p>
      <w:pPr>
        <w:spacing w:after="64"/>
      </w:pPr>
      <w:r>
        <w:rPr>
          <w:b w:val="0"/>
        </w:rPr>
        <w:t>В текущей статической сборке NP_Lab отсутствуют рекламные/маркетинговые счётчики и сторонние аналитические cookies. Браузерное хранилище используется для языка, безопасного возврата после оплаты/юридических страниц, состояния формы, технического cooldown и PWA-кэша. Эти механизмы не предназначены для рекламы или межсайтового отслеживания.</w:t>
      </w:r>
    </w:p>
    <w:p>
      <w:pPr>
        <w:pStyle w:val="Heading1"/>
        <w:keepNext/>
        <w:spacing w:before="100" w:after="50"/>
      </w:pPr>
      <w:r>
        <w:rPr>
          <w:b w:val="0"/>
        </w:rPr>
        <w:t>13. Публикация и изменения</w:t>
      </w:r>
    </w:p>
    <w:p>
      <w:pPr>
        <w:spacing w:after="64"/>
      </w:pPr>
      <w:r>
        <w:t>Актуальная редакция Политики размещается в свободном доступе на этой странице. Редакция: 30 сентября 2026 года. При существенном изменении состава данных, целей, маршрута обработки или получателей Политика подлежит актуализации.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8"/>
      </w:rPr>
      <w:t xml:space="preserve">Страница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