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Offer"/>
        <w:jc w:val="center"/>
      </w:pPr>
      <w:r>
        <w:rPr>
          <w:b w:val="0"/>
        </w:rPr>
        <w:t>ПУБЛИЧНАЯ ОФЕРТА</w:t>
      </w:r>
    </w:p>
    <w:p>
      <w:pPr>
        <w:spacing w:after="64"/>
      </w:pPr>
      <w:r>
        <w:t>о приобретении цифровых продуктов и предоставлении права использования цифрового контента</w:t>
      </w:r>
    </w:p>
    <w:p>
      <w:pPr>
        <w:spacing w:after="64"/>
      </w:pPr>
      <w:r>
        <w:t>Редакция от 30 сентября 2026 года</w:t>
      </w:r>
    </w:p>
    <w:p>
      <w:pPr>
        <w:pStyle w:val="H1Offer"/>
        <w:keepNext/>
        <w:spacing w:before="100" w:after="50"/>
      </w:pPr>
      <w:r>
        <w:rPr>
          <w:b w:val="0"/>
        </w:rPr>
        <w:t>1. Общие положения</w:t>
      </w:r>
    </w:p>
    <w:p>
      <w:pPr>
        <w:spacing w:after="64"/>
      </w:pPr>
      <w:r>
        <w:t>1.1. Настоящий документ является публичной офертой самозанятого Паркалаб Николай Николаевич (далее — «Продавец») и содержит условия приобретения цифровых продуктов и получения права использования цифрового контента, размещенного на сайте проекта NP_Lab.</w:t>
      </w:r>
    </w:p>
    <w:p>
      <w:pPr>
        <w:spacing w:after="64"/>
      </w:pPr>
      <w:r>
        <w:rPr>
          <w:b w:val="0"/>
        </w:rPr>
        <w:t>1.2. Оферта адресована дееспособным физическим лицам, а также иным лицам, которые вправе заключить соответствующий договор в соответствии с законодательством Российской Федерации (далее — «Покупатель»).</w:t>
      </w:r>
    </w:p>
    <w:p>
      <w:pPr>
        <w:spacing w:after="64"/>
      </w:pPr>
      <w:r>
        <w:rPr>
          <w:b w:val="0"/>
        </w:rPr>
        <w:t>1.3. Акцептом Оферты является совершение Покупателем действий, однозначно выражающих согласие с ее условиями, в том числе оформление заказа и его оплата через доступный на Сайте способ оплаты.</w:t>
      </w:r>
    </w:p>
    <w:p>
      <w:pPr>
        <w:spacing w:after="64"/>
      </w:pPr>
      <w:r>
        <w:t>1.4. С момента успешной оплаты заказа договор между Продавцом и Покупателем считается заключенным на условиях настоящей Оферты и сведений о конкретном цифровом продукте, опубликованных на Сайте на момент оплаты.</w:t>
      </w:r>
    </w:p>
    <w:p>
      <w:pPr>
        <w:spacing w:after="64"/>
      </w:pPr>
      <w:r>
        <w:rPr>
          <w:b w:val="0"/>
        </w:rPr>
        <w:t>1.5. NP_Lab является наименованием творческого проекта Продавца и не является отдельным юридическим лицом.</w:t>
      </w:r>
    </w:p>
    <w:p>
      <w:pPr>
        <w:pStyle w:val="H1Offer"/>
        <w:keepNext/>
        <w:spacing w:before="100" w:after="50"/>
      </w:pPr>
      <w:r>
        <w:rPr>
          <w:b w:val="0"/>
        </w:rPr>
        <w:t>2. Термины</w:t>
      </w:r>
    </w:p>
    <w:p>
      <w:pPr>
        <w:spacing w:after="64"/>
      </w:pPr>
      <w:r>
        <w:rPr>
          <w:b w:val="0"/>
        </w:rPr>
        <w:t>2.1. Сайт — интернет-ресурс Продавца по адресу: https://nplabart.com/</w:t>
      </w:r>
    </w:p>
    <w:p>
      <w:pPr>
        <w:spacing w:after="64"/>
      </w:pPr>
      <w:r>
        <w:t>2.2. Цифровой продукт — электронный набор, файл или совокупность файлов, предлагаемых на Сайте за плату, включая, в частности, аудиозаписи, видеоматериалы, изображения, обложки, электронные книги, авторские издания и иные цифровые материалы проекта NP_Lab.</w:t>
      </w:r>
    </w:p>
    <w:p>
      <w:pPr>
        <w:spacing w:after="64"/>
      </w:pPr>
      <w:r>
        <w:t>2.3. Цифровой контент — охраняемые результаты интеллектуальной деятельности и иные материалы, входящие в состав Цифрового продукта.</w:t>
      </w:r>
    </w:p>
    <w:p>
      <w:pPr>
        <w:spacing w:after="64"/>
      </w:pPr>
      <w:r>
        <w:t>2.4. Заказ — оформленное Покупателем намерение приобрести выбранный Цифровой продукт по цене, указанной или выбранной на Сайте.</w:t>
      </w:r>
    </w:p>
    <w:p>
      <w:pPr>
        <w:spacing w:after="64"/>
      </w:pPr>
      <w:r>
        <w:t>2.5. Персональная ссылка — уникальная электронная ссылка, предоставляемая Покупателю для получения оплаченного Цифрового продукта.</w:t>
      </w:r>
    </w:p>
    <w:p>
      <w:pPr>
        <w:pStyle w:val="H1Offer"/>
        <w:keepNext/>
        <w:spacing w:before="100" w:after="50"/>
      </w:pPr>
      <w:r>
        <w:rPr>
          <w:b w:val="0"/>
        </w:rPr>
        <w:t>3. Предмет договора и права использования</w:t>
      </w:r>
    </w:p>
    <w:p>
      <w:pPr>
        <w:spacing w:after="64"/>
      </w:pPr>
      <w:r>
        <w:t>3.1. Продавец обязуется после подтверждения оплаты предоставить Покупателю доступ к выбранному Цифровому продукту, а Покупатель обязуется оплатить его на условиях, указанных на Сайте и в настоящей Оферте.</w:t>
      </w:r>
    </w:p>
    <w:p>
      <w:pPr>
        <w:spacing w:after="64"/>
      </w:pPr>
      <w:r>
        <w:t>3.2. Одновременно с предоставлением доступа Продавец предоставляет Покупателю простое (неисключительное) право использования входящего в Цифровой продукт контента исключительно для личных некоммерческих целей, если на странице конкретного продукта прямо не указаны иные условия. Вознаграждение за предоставляемое право использования включено в цену Цифрового продукта и отдельно не взимается.</w:t>
      </w:r>
    </w:p>
    <w:p>
      <w:pPr>
        <w:spacing w:after="64"/>
      </w:pPr>
      <w:r>
        <w:t>3.3. Покупатель вправе скачивать приобретенный Цифровой продукт, хранить его на принадлежащих ему устройствах и воспроизводить его для личного некоммерческого использования.</w:t>
      </w:r>
    </w:p>
    <w:p>
      <w:pPr>
        <w:spacing w:after="64"/>
      </w:pPr>
      <w:r>
        <w:t>3.4. Если иное прямо не указано на странице конкретного Цифрового продукта, Покупатель не вправе без письменного согласия Продавца:</w:t>
      </w:r>
    </w:p>
    <w:p>
      <w:pPr>
        <w:spacing w:after="64"/>
      </w:pPr>
      <w:r>
        <w:rPr>
          <w:b w:val="0"/>
        </w:rPr>
        <w:t>• перепродавать, передавать за плату или иным образом распространять полученные файлы либо доступ к ним;</w:t>
      </w:r>
    </w:p>
    <w:p>
      <w:pPr>
        <w:spacing w:after="64"/>
      </w:pPr>
      <w:r>
        <w:rPr>
          <w:b w:val="0"/>
        </w:rPr>
        <w:t>• публиковать файлы полностью или в существенной части в открытом доступе;</w:t>
      </w:r>
    </w:p>
    <w:p>
      <w:pPr>
        <w:spacing w:after="64"/>
      </w:pPr>
      <w:r>
        <w:rPr>
          <w:b w:val="0"/>
        </w:rPr>
        <w:t>• использовать Цифровой контент в рекламе, коммерческих проектах, товарах, услугах или иных целях извлечения дохода;</w:t>
      </w:r>
    </w:p>
    <w:p>
      <w:pPr>
        <w:spacing w:after="64"/>
      </w:pPr>
      <w:r>
        <w:rPr>
          <w:b w:val="0"/>
        </w:rPr>
        <w:t>• выдавать Цифровой контент или его существенную часть за собственный результат творчества;</w:t>
      </w:r>
    </w:p>
    <w:p>
      <w:pPr>
        <w:spacing w:after="64"/>
      </w:pPr>
      <w:r>
        <w:rPr>
          <w:b w:val="0"/>
        </w:rPr>
        <w:t>• предоставлять третьим лицам Персональную ссылку, если такой доступ предназначен только Покупателю.</w:t>
      </w:r>
    </w:p>
    <w:p>
      <w:pPr>
        <w:spacing w:after="64"/>
      </w:pPr>
      <w:r>
        <w:rPr>
          <w:b w:val="0"/>
        </w:rPr>
        <w:t>3.5. Исключительные права на произведения и иные охраняемые объекты Покупателю не передаются. Продавец является правообладателем либо обладает необходимыми правами для предоставления Покупателю указанного права использования.</w:t>
      </w:r>
    </w:p>
    <w:p>
      <w:pPr>
        <w:spacing w:after="64"/>
      </w:pPr>
      <w:r>
        <w:t>3.6. Право использования предоставляется на территории всего мира на срок действия исключительного права на соответствующий объект, если иное не указано на странице конкретного Цифрового продукта.</w:t>
      </w:r>
    </w:p>
    <w:p>
      <w:pPr>
        <w:pStyle w:val="H1Offer"/>
        <w:keepNext/>
        <w:spacing w:before="100" w:after="50"/>
      </w:pPr>
      <w:r>
        <w:rPr>
          <w:b w:val="0"/>
        </w:rPr>
        <w:t>4. Оформление заказа, цена и оплата</w:t>
      </w:r>
    </w:p>
    <w:p>
      <w:pPr>
        <w:spacing w:after="64"/>
      </w:pPr>
      <w:r>
        <w:t>4.1. Наименование, состав, описание и цена каждого Цифрового продукта определяются информацией, размещенной на Сайте непосредственно перед оформлением заказа.</w:t>
      </w:r>
    </w:p>
    <w:p>
      <w:pPr>
        <w:spacing w:after="64"/>
      </w:pPr>
      <w:r>
        <w:t>4.2. Для отдельных Цифровых продуктов Продавец вправе установить минимальную цену и предоставить Покупателю возможность по своему выбору увеличить итоговую цену. В таком случае вся сумма, выбранная Покупателем в форме оплаты, является ценой соответствующего Цифрового продукта и не считается пожертвованием или безвозмездным переводом.</w:t>
      </w:r>
    </w:p>
    <w:p>
      <w:pPr>
        <w:spacing w:after="64"/>
      </w:pPr>
      <w:r>
        <w:rPr>
          <w:b w:val="0"/>
        </w:rPr>
        <w:t>4.3. Расчеты осуществляются в безналичном порядке через способы оплаты и платежные сервисы, доступные на Сайте на момент оформления заказа.</w:t>
      </w:r>
    </w:p>
    <w:p>
      <w:pPr>
        <w:spacing w:after="64"/>
      </w:pPr>
      <w:r>
        <w:rPr>
          <w:b w:val="0"/>
        </w:rPr>
        <w:t>4.4. Обязанность Покупателя по оплате считается исполненной после подтверждения успешного платежа платежным сервисом и/или получения Продавцом подтверждения платежа в предусмотренном техническом порядке.</w:t>
      </w:r>
    </w:p>
    <w:p>
      <w:pPr>
        <w:spacing w:after="64"/>
      </w:pPr>
      <w:r>
        <w:rPr>
          <w:b w:val="0"/>
        </w:rPr>
        <w:t>4.5. Чек формируется и направляется Покупателю в порядке, предусмотренном законодательством Российской Федерации для плательщиков налога на профессиональный доход и используемым способом приема оплаты.</w:t>
      </w:r>
    </w:p>
    <w:p>
      <w:pPr>
        <w:pStyle w:val="H1Offer"/>
        <w:keepNext/>
        <w:spacing w:before="100" w:after="50"/>
      </w:pPr>
      <w:r>
        <w:t>5. Предоставление цифрового продукта</w:t>
      </w:r>
    </w:p>
    <w:p>
      <w:pPr>
        <w:spacing w:after="64"/>
      </w:pPr>
      <w:r>
        <w:t>5.1. Цифровой продукт предоставляется дистанционно в электронной форме. Физическая доставка, упаковка и передача материального носителя не осуществляются, если иное прямо не указано на странице конкретного товара.</w:t>
      </w:r>
    </w:p>
    <w:p>
      <w:pPr>
        <w:spacing w:after="64"/>
      </w:pPr>
      <w:r>
        <w:t>5.2. После подтверждения оплаты Продавец предоставляет Покупателю доступ к Цифровому продукту путем направления Персональной ссылки на адрес электронной почты, который Покупатель самостоятельно указал при оформлении заказа.</w:t>
      </w:r>
    </w:p>
    <w:p>
      <w:pPr>
        <w:spacing w:after="64"/>
      </w:pPr>
      <w:r>
        <w:t>5.3. Если на странице конкретного товара не указан иной срок, Персональная ссылка действует 3 (три) календарных дня с момента ее направления Покупателю. В течение этого срока ссылка может использоваться неоднократно для скачивания приобретенного Цифрового продукта. Предоставлением Цифрового продукта является обеспечение возможности получить его по работоспособной Персональной ссылке; фактическое открытие письма, переход по ссылке или скачивание файлов Покупателем не является условием исполнения обязательства Продавца.</w:t>
      </w:r>
    </w:p>
    <w:p>
      <w:pPr>
        <w:spacing w:after="64"/>
      </w:pPr>
      <w:r>
        <w:t>5.4. Обязательство Продавца по предоставлению Цифрового продукта считается исполненным с момента направления работоспособной Персональной ссылки на адрес электронной почты, указанный Покупателем при оформлении заказа, при условии что ссылка позволяет получить оплаченный Цифровой продукт. То обстоятельство, что Покупатель не открыл письмо, не перешел по ссылке, не скачал файлы либо не использовал полученный контент, само по себе не означает непредоставление Цифрового продукта.</w:t>
      </w:r>
    </w:p>
    <w:p>
      <w:pPr>
        <w:spacing w:after="64"/>
      </w:pPr>
      <w:r>
        <w:rPr>
          <w:b w:val="0"/>
        </w:rPr>
        <w:t>5.5. Покупатель несет ответственность за правильность указанного им адреса электронной почты, наличие доступа к нему и возможность получения сообщений. Ошибка или опечатка в адресе, переполненный почтовый ящик, утрата доступа к почте, блокировка сообщения почтовым сервисом или попадание письма в папку «Спам» по причинам, не зависящим от Продавца, сами по себе не являются нарушением обязательств Продавца и не являются самостоятельным основанием для возврата денежных средств. После проверки заказа Продавец вправе повторно направить ссылку либо сформировать новую; после истечения первоначального срока действия ссылки такая помощь предоставляется по усмотрению Продавца и не означает возникновения нового срока для отказа от уже исполненного договора.</w:t>
      </w:r>
    </w:p>
    <w:p>
      <w:pPr>
        <w:pStyle w:val="H1Offer"/>
        <w:keepNext/>
        <w:spacing w:before="100" w:after="50"/>
      </w:pPr>
      <w:r>
        <w:rPr>
          <w:b w:val="0"/>
        </w:rPr>
        <w:t>6. Качество, технические требования и поддержка</w:t>
      </w:r>
    </w:p>
    <w:p>
      <w:pPr>
        <w:spacing w:after="64"/>
      </w:pPr>
      <w:r>
        <w:t>6.1. Состав, форматы файлов, описание Цифрового продукта и существенные технические требования указываются на Сайте до оплаты. Покупатель самостоятельно оценивает соответствие товара своим целям и совместимость своих устройств и программного обеспечения с указанными форматами. Если фактически предоставленный контент соответствует опубликованному описанию и составу, субъективное несоответствие вкусу, ожиданиям или личной оценке Покупателя само по себе не является недостатком Цифрового продукта.</w:t>
      </w:r>
    </w:p>
    <w:p>
      <w:pPr>
        <w:spacing w:after="64"/>
      </w:pPr>
      <w:r>
        <w:t>6.2. Если Цифровой продукт имеет недостаток, в том числе файл поврежден, существенно не соответствует опубликованному описанию или доступ не работает по вине Продавца, Покупатель вправе по своему выбору предъявить требования, предусмотренные применимым законодательством о защите прав потребителей. Обращение направляется Продавцу по контактам, указанным в разделе 12 настоящей Оферты.</w:t>
      </w:r>
    </w:p>
    <w:p>
      <w:pPr>
        <w:spacing w:after="64"/>
      </w:pPr>
      <w:r>
        <w:t>6.3. Временные перебои в работе сторонних сетей, почтовых сервисов, платежных систем или интернет-провайдеров не считаются отказом Продавца от исполнения обязательств, если Продавец после получения информации о проблеме принимает разумные меры для предоставления оплаченного Цифрового продукта. Если подтвержденный платеж получен, а доступ не предоставлен исключительно по вине Продавца и нарушение не может быть устранено, вопрос о возврате решается в соответствии с обязательными требованиями законодательства Российской Федерации.</w:t>
      </w:r>
    </w:p>
    <w:p>
      <w:pPr>
        <w:spacing w:after="64"/>
      </w:pPr>
      <w:r>
        <w:t>6.4. Гарантийный срок на Цифровой продукт Продавцом отдельно не устанавливается. При отсутствии установленного гарантийного срока требования в отношении недостатков Цифрового продукта могут быть предъявлены в случаях и порядке, предусмотренных обязательным законодательством, если недостатки обнаружены в разумный срок, но в пределах двух лет со дня передачи Цифрового продукта (предоставления доступа к нему).</w:t>
      </w:r>
    </w:p>
    <w:p>
      <w:pPr>
        <w:pStyle w:val="H1Offer"/>
        <w:keepNext/>
        <w:spacing w:before="100" w:after="50"/>
      </w:pPr>
      <w:r>
        <w:rPr>
          <w:b w:val="0"/>
        </w:rPr>
        <w:t>7. Отказ от заказа и возврат денежных средств</w:t>
      </w:r>
    </w:p>
    <w:p>
      <w:pPr>
        <w:spacing w:after="64"/>
      </w:pPr>
      <w:r>
        <w:t>7.1. До предоставления доступа к Цифровому продукту Покупатель вправе заявить об отказе от заказа. После направления Персональной ссылки применяется право на отказ и возврат, указанное в пункте 7.2, а также иные права, предусмотренные законодательством Российской Федерации.</w:t>
      </w:r>
    </w:p>
    <w:p>
      <w:pPr>
        <w:spacing w:after="64"/>
      </w:pPr>
      <w:r>
        <w:t>7.2. Покупатель вправе отказаться от Цифрового продукта надлежащего качества и потребовать возврата уплаченной за него суммы в течение 7 (семи) календарных дней, не считая дня покупки (оплаты). Предоставление работоспособной Персональной ссылки, фактическое скачивание продукта и истечение срока действия ссылки не сокращают этот срок. Иные права Покупателя, предусмотренные законодательством, сохраняются.</w:t>
      </w:r>
    </w:p>
    <w:p>
      <w:pPr>
        <w:spacing w:after="64"/>
      </w:pPr>
      <w:r>
        <w:t>7.3. При наличии недостатков Цифрового продукта, непредоставлении предварительно оплаченного Цифрового продукта, повторном списании денежных средств либо в иных предусмотренных законом случаях Покупатель вправе предъявить соответствующие требования, включая требование о возврате уплаченной суммы.</w:t>
      </w:r>
    </w:p>
    <w:p>
      <w:pPr>
        <w:spacing w:after="64"/>
      </w:pPr>
      <w:r>
        <w:t>7.4. Ошибка в адресе электронной почты, утрата доступа к почте, удаление письма или файлов, пропуск срока действия Персональной ссылки либо несовместимость устройства сами по себе не доказывают технический недостаток или непредоставление Цифрового продукта по вине Продавца. Продавец вправе содействовать восстановлению доступа после идентификации заказа. Настоящий пункт не ограничивает право Покупателя на отказ и возврат в срок, указанный в пункте 7.2, и иные права, предусмотренные законом.</w:t>
      </w:r>
    </w:p>
    <w:p>
      <w:pPr>
        <w:spacing w:after="64"/>
      </w:pPr>
      <w:r>
        <w:t>7.5. Для рассмотрения требования Покупатель направляет обращение на контактный e-mail Продавца и сообщает сведения, достаточные для идентификации заказа и платежа. Срок удовлетворения требования определяется применимым законодательством; технический порядок возврата денежных средств может зависеть от правил используемого платежного сервиса. Ничто в настоящем разделе не исключает и не ограничивает права потребителя, которые не могут быть ограничены соглашением сторон.</w:t>
      </w:r>
    </w:p>
    <w:p>
      <w:pPr>
        <w:pStyle w:val="H1Offer"/>
        <w:keepNext/>
        <w:spacing w:before="100" w:after="50"/>
      </w:pPr>
      <w:r>
        <w:rPr>
          <w:b w:val="0"/>
        </w:rPr>
        <w:t>8. Добровольная безвозмездная поддержка проекта</w:t>
      </w:r>
    </w:p>
    <w:p>
      <w:pPr>
        <w:spacing w:after="64"/>
      </w:pPr>
      <w:r>
        <w:t>8.1. Если на Сайте отдельно предусмотрена возможность добровольной безвозмездной поддержки проекта NP_Lab, при которой плательщик не приобретает Цифровой продукт, не получает дополнительный доступ, услугу, преимущество или иное встречное предоставление, такая поддержка не является заказом Цифрового продукта и не регулируется настоящей Офертой.</w:t>
      </w:r>
    </w:p>
    <w:p>
      <w:pPr>
        <w:spacing w:after="64"/>
      </w:pPr>
      <w:r>
        <w:rPr>
          <w:b w:val="0"/>
        </w:rPr>
        <w:t>8.2. Условия, назначение платежа и порядок обработки добровольной безвозмездной поддержки должны быть отдельно и явно указаны Покупателю (плательщику) до совершения соответствующего платежа.</w:t>
      </w:r>
    </w:p>
    <w:p>
      <w:pPr>
        <w:pStyle w:val="H1Offer"/>
        <w:keepNext/>
        <w:spacing w:before="100" w:after="50"/>
      </w:pPr>
      <w:r>
        <w:rPr>
          <w:b w:val="0"/>
        </w:rPr>
        <w:t>9. Персональные данные и конфиденциальность</w:t>
      </w:r>
    </w:p>
    <w:p>
      <w:pPr>
        <w:spacing w:after="64"/>
      </w:pPr>
      <w:r>
        <w:t>9.1. Для оформления и исполнения заказа Продавец может обрабатывать данные, которые Покупатель самостоятельно предоставляет на Сайте или платежному сервису, в объеме, необходимом для оплаты, доставки цифрового продукта, выдачи чека, поддержки и исполнения требований законодательства.</w:t>
      </w:r>
    </w:p>
    <w:p>
      <w:pPr>
        <w:spacing w:after="64"/>
      </w:pPr>
      <w:r>
        <w:rPr>
          <w:b w:val="0"/>
        </w:rPr>
        <w:t>9.2. Обработка персональных данных осуществляется в соответствии с законодательством Российской Федерации и Политикой обработки персональных данных (Политикой конфиденциальности), опубликованной на Сайте.</w:t>
      </w:r>
    </w:p>
    <w:p>
      <w:pPr>
        <w:spacing w:after="64"/>
      </w:pPr>
      <w:r>
        <w:rPr>
          <w:b w:val="0"/>
        </w:rPr>
        <w:t>9.3. Контактные данные, полученные для исполнения заказа, не используются для рекламных рассылок без отдельного законного основания или согласия, когда такое согласие требуется.</w:t>
      </w:r>
    </w:p>
    <w:p>
      <w:pPr>
        <w:pStyle w:val="H1Offer"/>
        <w:keepNext/>
        <w:spacing w:before="100" w:after="50"/>
      </w:pPr>
      <w:r>
        <w:rPr>
          <w:b w:val="0"/>
        </w:rPr>
        <w:t>10. Ответственность и форс-мажор</w:t>
      </w:r>
    </w:p>
    <w:p>
      <w:pPr>
        <w:spacing w:after="64"/>
      </w:pPr>
      <w:r>
        <w:rPr>
          <w:b w:val="0"/>
        </w:rPr>
        <w:t>10.1. Стороны несут ответственность за неисполнение или ненадлежащее исполнение обязательств в соответствии с настоящей Офертой и законодательством Российской Федерации.</w:t>
      </w:r>
    </w:p>
    <w:p>
      <w:pPr>
        <w:spacing w:after="64"/>
      </w:pPr>
      <w:r>
        <w:t>10.2. Продавец не отвечает за невозможность использования Цифрового продукта, вызванную несовместимостью оборудования или программного обеспечения Покупателя, если необходимые форматы и требования были заранее указаны на Сайте.</w:t>
      </w:r>
    </w:p>
    <w:p>
      <w:pPr>
        <w:spacing w:after="64"/>
      </w:pPr>
      <w:r>
        <w:rPr>
          <w:b w:val="0"/>
        </w:rPr>
        <w:t>10.3. Стороны освобождаются от ответственности за неисполнение обязательств вследствие чрезвычайных и непредотвратимых при данных условиях обстоятельств в пределах, установленных законодательством Российской Федерации.</w:t>
      </w:r>
    </w:p>
    <w:p>
      <w:pPr>
        <w:pStyle w:val="H1Offer"/>
        <w:keepNext/>
        <w:spacing w:before="100" w:after="50"/>
      </w:pPr>
      <w:r>
        <w:rPr>
          <w:b w:val="0"/>
        </w:rPr>
        <w:t>11. Срок действия, изменение Оферты и разрешение споров</w:t>
      </w:r>
    </w:p>
    <w:p>
      <w:pPr>
        <w:spacing w:after="64"/>
      </w:pPr>
      <w:r>
        <w:rPr>
          <w:b w:val="0"/>
        </w:rPr>
        <w:t>11.1. Оферта вступает в силу с момента размещения на Сайте и действует до ее отзыва Продавцом.</w:t>
      </w:r>
    </w:p>
    <w:p>
      <w:pPr>
        <w:spacing w:after="64"/>
      </w:pPr>
      <w:r>
        <w:rPr>
          <w:b w:val="0"/>
        </w:rPr>
        <w:t>11.2. Продавец вправе изменять Оферту. К уже оплаченному заказу применяется редакция Оферты, действовавшая на момент оплаты, если иное не требуется законодательством.</w:t>
      </w:r>
    </w:p>
    <w:p>
      <w:pPr>
        <w:spacing w:after="64"/>
      </w:pPr>
      <w:r>
        <w:rPr>
          <w:b w:val="0"/>
        </w:rPr>
        <w:t>11.3. Стороны стремятся урегулировать разногласия путем переговоров и обмена обращениями по контактным данным, указанным в разделе 12. Обязательный досудебный порядок применяется только в случаях, когда он предусмотрен законом.</w:t>
      </w:r>
    </w:p>
    <w:p>
      <w:pPr>
        <w:spacing w:after="64"/>
      </w:pPr>
      <w:r>
        <w:rPr>
          <w:b w:val="0"/>
        </w:rPr>
        <w:t>11.4. К отношениям Сторон применяется законодательство Российской Федерации. Права Покупателя-потребителя, предоставленные императивными нормами законодательства, не могут быть ограничены настоящей Офертой.</w:t>
      </w:r>
    </w:p>
    <w:p>
      <w:pPr>
        <w:pStyle w:val="H1Offer"/>
        <w:keepNext/>
        <w:spacing w:before="100" w:after="50"/>
      </w:pPr>
      <w:r>
        <w:rPr>
          <w:b w:val="0"/>
        </w:rPr>
        <w:t>12. Реквизиты и контакты Продавца</w:t>
      </w:r>
    </w:p>
    <w:p>
      <w:pPr>
        <w:spacing w:after="64"/>
      </w:pPr>
      <w:r>
        <w:t>Примечание: Настоящая Оферта регулирует приобретение цифровых продуктов проекта NP_Lab. Конкретные названия релизов и произведений в текст Оферты намеренно не включаются: состав и условия каждого товара определяются его страницей на Сайте.</w:t>
      </w:r>
    </w:p>
    <w:tbl>
      <w:tblPr>
        <w:tblStyle w:val="TableGrid"/>
        <w:tblW w:type="auto" w:w="0"/>
        <w:jc w:val="center"/>
        <w:tblLook w:firstColumn="1" w:firstRow="1" w:lastColumn="0" w:lastRow="0" w:noHBand="0" w:noVBand="1" w:val="04A0"/>
      </w:tblPr>
      <w:tblGrid>
        <w:gridCol w:w="4986"/>
        <w:gridCol w:w="4986"/>
      </w:tblGrid>
      <w:tr>
        <w:trPr>
          <w:cantSplit/>
        </w:trPr>
        <w:tc>
          <w:tcPr>
            <w:tcW w:type="dxa" w:w="4986"/>
            <w:vAlign w:val="center"/>
            <w:tcMar>
              <w:top w:w="70" w:type="dxa"/>
              <w:start w:w="90" w:type="dxa"/>
              <w:bottom w:w="70" w:type="dxa"/>
              <w:end w:w="90" w:type="dxa"/>
            </w:tcMar>
          </w:tcPr>
          <w:p>
            <w:pPr>
              <w:spacing w:after="0"/>
            </w:pPr>
            <w:r>
              <w:rPr>
                <w:sz w:val="17"/>
              </w:rPr>
            </w:r>
            <w:r>
              <w:rPr>
                <w:b w:val="0"/>
                <w:sz w:val="17"/>
              </w:rPr>
              <w:t>Продавец</w:t>
            </w:r>
          </w:p>
        </w:tc>
        <w:tc>
          <w:tcPr>
            <w:tcW w:type="dxa" w:w="4986"/>
            <w:vAlign w:val="center"/>
            <w:tcMar>
              <w:top w:w="70" w:type="dxa"/>
              <w:start w:w="90" w:type="dxa"/>
              <w:bottom w:w="70" w:type="dxa"/>
              <w:end w:w="90" w:type="dxa"/>
            </w:tcMar>
          </w:tcPr>
          <w:p>
            <w:pPr>
              <w:spacing w:after="0"/>
            </w:pPr>
            <w:r>
              <w:rPr>
                <w:sz w:val="17"/>
              </w:rPr>
            </w:r>
            <w:r>
              <w:rPr>
                <w:b w:val="0"/>
                <w:sz w:val="17"/>
              </w:rPr>
              <w:t>Паркалаб Николай Николаевич</w:t>
            </w:r>
          </w:p>
        </w:tc>
      </w:tr>
      <w:tr>
        <w:trPr>
          <w:cantSplit/>
        </w:trPr>
        <w:tc>
          <w:tcPr>
            <w:tcW w:type="dxa" w:w="4986"/>
            <w:vAlign w:val="center"/>
            <w:tcMar>
              <w:top w:w="70" w:type="dxa"/>
              <w:start w:w="90" w:type="dxa"/>
              <w:bottom w:w="70" w:type="dxa"/>
              <w:end w:w="90" w:type="dxa"/>
            </w:tcMar>
          </w:tcPr>
          <w:p>
            <w:pPr>
              <w:spacing w:after="0"/>
            </w:pPr>
            <w:r>
              <w:rPr>
                <w:sz w:val="17"/>
              </w:rPr>
            </w:r>
            <w:r>
              <w:rPr>
                <w:b w:val="0"/>
                <w:sz w:val="17"/>
              </w:rPr>
              <w:t>Статус</w:t>
            </w:r>
          </w:p>
        </w:tc>
        <w:tc>
          <w:tcPr>
            <w:tcW w:type="dxa" w:w="4986"/>
            <w:vAlign w:val="center"/>
            <w:tcMar>
              <w:top w:w="70" w:type="dxa"/>
              <w:start w:w="90" w:type="dxa"/>
              <w:bottom w:w="70" w:type="dxa"/>
              <w:end w:w="90" w:type="dxa"/>
            </w:tcMar>
          </w:tcPr>
          <w:p>
            <w:pPr>
              <w:spacing w:after="0"/>
            </w:pPr>
            <w:r>
              <w:rPr>
                <w:sz w:val="17"/>
              </w:rPr>
            </w:r>
            <w:r>
              <w:rPr>
                <w:b w:val="0"/>
                <w:sz w:val="17"/>
              </w:rPr>
              <w:t>Налогоплательщик налога на профессиональный доход (самозанятый)</w:t>
            </w:r>
          </w:p>
        </w:tc>
      </w:tr>
      <w:tr>
        <w:trPr>
          <w:cantSplit/>
        </w:trPr>
        <w:tc>
          <w:tcPr>
            <w:tcW w:type="dxa" w:w="4986"/>
            <w:vAlign w:val="center"/>
            <w:tcMar>
              <w:top w:w="70" w:type="dxa"/>
              <w:start w:w="90" w:type="dxa"/>
              <w:bottom w:w="70" w:type="dxa"/>
              <w:end w:w="90" w:type="dxa"/>
            </w:tcMar>
          </w:tcPr>
          <w:p>
            <w:pPr>
              <w:spacing w:after="0"/>
            </w:pPr>
            <w:r>
              <w:rPr>
                <w:sz w:val="17"/>
              </w:rPr>
            </w:r>
            <w:r>
              <w:rPr>
                <w:b w:val="0"/>
                <w:sz w:val="17"/>
              </w:rPr>
              <w:t>ИНН</w:t>
            </w:r>
          </w:p>
        </w:tc>
        <w:tc>
          <w:tcPr>
            <w:tcW w:type="dxa" w:w="4986"/>
            <w:vAlign w:val="center"/>
            <w:tcMar>
              <w:top w:w="70" w:type="dxa"/>
              <w:start w:w="90" w:type="dxa"/>
              <w:bottom w:w="70" w:type="dxa"/>
              <w:end w:w="90" w:type="dxa"/>
            </w:tcMar>
          </w:tcPr>
          <w:p>
            <w:pPr>
              <w:spacing w:after="0"/>
            </w:pPr>
            <w:r>
              <w:rPr>
                <w:sz w:val="17"/>
              </w:rPr>
            </w:r>
            <w:r>
              <w:rPr>
                <w:b w:val="0"/>
                <w:sz w:val="17"/>
              </w:rPr>
              <w:t>231400652600</w:t>
            </w:r>
          </w:p>
        </w:tc>
      </w:tr>
      <w:tr>
        <w:trPr>
          <w:cantSplit/>
        </w:trPr>
        <w:tc>
          <w:tcPr>
            <w:tcW w:type="dxa" w:w="4986"/>
            <w:vAlign w:val="center"/>
            <w:tcMar>
              <w:top w:w="70" w:type="dxa"/>
              <w:start w:w="90" w:type="dxa"/>
              <w:bottom w:w="70" w:type="dxa"/>
              <w:end w:w="90" w:type="dxa"/>
            </w:tcMar>
          </w:tcPr>
          <w:p>
            <w:pPr>
              <w:spacing w:after="0"/>
            </w:pPr>
            <w:r>
              <w:rPr>
                <w:sz w:val="17"/>
              </w:rPr>
            </w:r>
            <w:r>
              <w:rPr>
                <w:b w:val="0"/>
                <w:sz w:val="17"/>
              </w:rPr>
              <w:t>Проект</w:t>
            </w:r>
          </w:p>
        </w:tc>
        <w:tc>
          <w:tcPr>
            <w:tcW w:type="dxa" w:w="4986"/>
            <w:vAlign w:val="center"/>
            <w:tcMar>
              <w:top w:w="70" w:type="dxa"/>
              <w:start w:w="90" w:type="dxa"/>
              <w:bottom w:w="70" w:type="dxa"/>
              <w:end w:w="90" w:type="dxa"/>
            </w:tcMar>
          </w:tcPr>
          <w:p>
            <w:pPr>
              <w:spacing w:after="0"/>
            </w:pPr>
            <w:r>
              <w:rPr>
                <w:sz w:val="17"/>
              </w:rPr>
            </w:r>
            <w:r>
              <w:rPr>
                <w:b w:val="0"/>
                <w:sz w:val="17"/>
              </w:rPr>
              <w:t>NP_Lab</w:t>
            </w:r>
          </w:p>
        </w:tc>
      </w:tr>
      <w:tr>
        <w:trPr>
          <w:cantSplit/>
        </w:trPr>
        <w:tc>
          <w:tcPr>
            <w:tcW w:type="dxa" w:w="4986"/>
            <w:vAlign w:val="center"/>
            <w:tcMar>
              <w:top w:w="70" w:type="dxa"/>
              <w:start w:w="90" w:type="dxa"/>
              <w:bottom w:w="70" w:type="dxa"/>
              <w:end w:w="90" w:type="dxa"/>
            </w:tcMar>
          </w:tcPr>
          <w:p>
            <w:pPr>
              <w:spacing w:after="0"/>
            </w:pPr>
            <w:r>
              <w:rPr>
                <w:sz w:val="17"/>
              </w:rPr>
            </w:r>
            <w:r>
              <w:rPr>
                <w:b w:val="0"/>
                <w:sz w:val="17"/>
              </w:rPr>
              <w:t>Сайт</w:t>
            </w:r>
          </w:p>
        </w:tc>
        <w:tc>
          <w:tcPr>
            <w:tcW w:type="dxa" w:w="4986"/>
            <w:vAlign w:val="center"/>
            <w:tcMar>
              <w:top w:w="70" w:type="dxa"/>
              <w:start w:w="90" w:type="dxa"/>
              <w:bottom w:w="70" w:type="dxa"/>
              <w:end w:w="90" w:type="dxa"/>
            </w:tcMar>
          </w:tcPr>
          <w:p>
            <w:pPr>
              <w:spacing w:after="0"/>
            </w:pPr>
            <w:r>
              <w:rPr>
                <w:sz w:val="17"/>
              </w:rPr>
            </w:r>
            <w:r>
              <w:rPr>
                <w:b w:val="0"/>
                <w:sz w:val="17"/>
              </w:rPr>
              <w:t>https://nplabart.com/</w:t>
            </w:r>
          </w:p>
        </w:tc>
      </w:tr>
      <w:tr>
        <w:trPr>
          <w:cantSplit/>
        </w:trPr>
        <w:tc>
          <w:tcPr>
            <w:tcW w:type="dxa" w:w="4986"/>
            <w:vAlign w:val="center"/>
            <w:tcMar>
              <w:top w:w="70" w:type="dxa"/>
              <w:start w:w="90" w:type="dxa"/>
              <w:bottom w:w="70" w:type="dxa"/>
              <w:end w:w="90" w:type="dxa"/>
            </w:tcMar>
          </w:tcPr>
          <w:p>
            <w:pPr>
              <w:spacing w:after="0"/>
            </w:pPr>
            <w:r>
              <w:rPr>
                <w:sz w:val="17"/>
              </w:rPr>
            </w:r>
            <w:r>
              <w:rPr>
                <w:b w:val="0"/>
                <w:sz w:val="17"/>
              </w:rPr>
              <w:t>E-mail</w:t>
            </w:r>
          </w:p>
        </w:tc>
        <w:tc>
          <w:tcPr>
            <w:tcW w:type="dxa" w:w="4986"/>
            <w:vAlign w:val="center"/>
            <w:tcMar>
              <w:top w:w="70" w:type="dxa"/>
              <w:start w:w="90" w:type="dxa"/>
              <w:bottom w:w="70" w:type="dxa"/>
              <w:end w:w="90" w:type="dxa"/>
            </w:tcMar>
          </w:tcPr>
          <w:p>
            <w:pPr>
              <w:spacing w:after="0"/>
            </w:pPr>
            <w:r>
              <w:rPr>
                <w:sz w:val="17"/>
              </w:rPr>
            </w:r>
            <w:r>
              <w:rPr>
                <w:b w:val="0"/>
                <w:sz w:val="17"/>
              </w:rPr>
              <w:t>contact@nplabart.com</w:t>
            </w:r>
          </w:p>
        </w:tc>
      </w:tr>
    </w:tbl>
    <w:sectPr>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Страница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Offer">
    <w:name w:val="TitleOffer"/>
    <w:pPr>
      <w:spacing w:before="0" w:after="120"/>
    </w:pPr>
    <w:rPr>
      <w:rFonts w:ascii="Arial" w:hAnsi="Arial" w:eastAsia="Arial"/>
      <w:b/>
      <w:sz w:val="32"/>
    </w:rPr>
  </w:style>
  <w:style w:type="paragraph" w:customStyle="1" w:styleId="H1Offer">
    <w:name w:val="H1Offer"/>
    <w:pPr>
      <w:spacing w:before="200" w:after="120"/>
    </w:pPr>
    <w:rPr>
      <w:rFonts w:ascii="Arial" w:hAnsi="Arial" w:eastAsia="Arial"/>
      <w:b/>
      <w:sz w:val="2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NP_Lab</dc:title>
  <dc:subject>Приобретение цифровых товаров и предоставление права использования цифрового контента</dc:subject>
  <dc:creator/>
  <cp:keywords/>
  <dc:description/>
  <cp:lastModifiedBy/>
  <cp:revision>1</cp:revision>
  <dcterms:created xsi:type="dcterms:W3CDTF">2013-12-23T23:15:00Z</dcterms:created>
  <dcterms:modified xsi:type="dcterms:W3CDTF">2013-12-23T23:15:00Z</dcterms:modified>
  <cp:category/>
</cp:coreProperties>
</file>